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tLeast"/>
        <w:jc w:val="center"/>
        <w:rPr>
          <w:rFonts w:hint="eastAsia" w:ascii="微软雅黑" w:hAnsi="微软雅黑" w:eastAsia="微软雅黑" w:cs="宋体"/>
          <w:sz w:val="24"/>
          <w:szCs w:val="24"/>
        </w:rPr>
      </w:pPr>
      <w:bookmarkStart w:id="0" w:name="_Toc65089734"/>
      <w:r>
        <w:rPr>
          <w:rFonts w:hint="eastAsia" w:ascii="微软雅黑" w:hAnsi="微软雅黑" w:eastAsia="微软雅黑" w:cs="宋体"/>
          <w:sz w:val="24"/>
          <w:szCs w:val="24"/>
        </w:rPr>
        <w:t>数字古琴</w:t>
      </w:r>
      <w:bookmarkEnd w:id="0"/>
    </w:p>
    <w:p>
      <w:pPr>
        <w:pStyle w:val="10"/>
        <w:spacing w:line="36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古琴，亦称瑶琴、玉琴、七弦琴，是中国最古老的传统拨弦乐器之一，有三千年以上历史。2</w:t>
      </w:r>
      <w:r>
        <w:rPr>
          <w:rFonts w:ascii="微软雅黑" w:hAnsi="微软雅黑" w:eastAsia="微软雅黑" w:cs="微软雅黑"/>
          <w:sz w:val="21"/>
          <w:szCs w:val="21"/>
        </w:rPr>
        <w:t>003年联合国教科文组织宣布古琴艺术为</w:t>
      </w:r>
      <w:r>
        <w:rPr>
          <w:rFonts w:hint="eastAsia" w:ascii="微软雅黑" w:hAnsi="微软雅黑" w:eastAsia="微软雅黑" w:cs="微软雅黑"/>
          <w:sz w:val="21"/>
          <w:szCs w:val="21"/>
        </w:rPr>
        <w:t>“人类口头和非物质遗产代表作”，作为“四艺”之首，琴动以丝竹之美，晓以韵律怡情。</w:t>
      </w:r>
    </w:p>
    <w:p>
      <w:pPr>
        <w:pStyle w:val="10"/>
        <w:spacing w:line="36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以数字化的表现形式和传播手段展现古琴艺术，是传承和弘扬优秀传统文化方面所做的“创造性转化”和“创新性发展”，增强和提升人民群众的文化自信，彰显优秀文化底蕴。</w:t>
      </w:r>
    </w:p>
    <w:p>
      <w:pPr>
        <w:pStyle w:val="10"/>
        <w:spacing w:line="36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数字古琴通过模拟古琴的物理声学和力学特性来构建数字模型实现古琴音色合成。使中国古老的高雅乐器真正能够走进民众生活，可以静心启智，提升自身的文化修养和气质。</w:t>
      </w:r>
    </w:p>
    <w:p>
      <w:pPr>
        <w:spacing w:line="360" w:lineRule="auto"/>
        <w:ind w:firstLine="480"/>
        <w:jc w:val="center"/>
        <w:rPr>
          <w:rFonts w:ascii="微软雅黑" w:hAnsi="微软雅黑" w:eastAsia="微软雅黑" w:cs="微软雅黑"/>
          <w:sz w:val="24"/>
          <w:szCs w:val="24"/>
        </w:rPr>
      </w:pPr>
      <w:r>
        <w:drawing>
          <wp:inline distT="0" distB="0" distL="0" distR="0">
            <wp:extent cx="2618740" cy="1995170"/>
            <wp:effectExtent l="0" t="0" r="0" b="5080"/>
            <wp:docPr id="1" name="图片 1" descr="琴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琴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18740" cy="1995170"/>
                    </a:xfrm>
                    <a:prstGeom prst="rect">
                      <a:avLst/>
                    </a:prstGeom>
                    <a:noFill/>
                    <a:ln>
                      <a:noFill/>
                    </a:ln>
                  </pic:spPr>
                </pic:pic>
              </a:graphicData>
            </a:graphic>
          </wp:inline>
        </w:drawing>
      </w:r>
    </w:p>
    <w:p>
      <w:pPr>
        <w:spacing w:line="360" w:lineRule="exact"/>
        <w:jc w:val="left"/>
        <w:rPr>
          <w:rFonts w:ascii="微软雅黑" w:hAnsi="微软雅黑" w:eastAsia="微软雅黑" w:cs="微软雅黑"/>
          <w:b/>
        </w:rPr>
      </w:pPr>
      <w:r>
        <w:rPr>
          <w:rFonts w:hint="eastAsia" w:ascii="微软雅黑" w:hAnsi="微软雅黑" w:eastAsia="微软雅黑" w:cs="微软雅黑"/>
          <w:b/>
        </w:rPr>
        <w:t>参数要求如下：</w:t>
      </w:r>
    </w:p>
    <w:tbl>
      <w:tblPr>
        <w:tblStyle w:val="5"/>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126"/>
        <w:gridCol w:w="5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704" w:type="dxa"/>
            <w:vAlign w:val="center"/>
          </w:tcPr>
          <w:p>
            <w:pPr>
              <w:spacing w:line="276"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序号</w:t>
            </w:r>
          </w:p>
        </w:tc>
        <w:tc>
          <w:tcPr>
            <w:tcW w:w="2126" w:type="dxa"/>
            <w:vAlign w:val="center"/>
          </w:tcPr>
          <w:p>
            <w:pPr>
              <w:spacing w:line="276"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项目</w:t>
            </w:r>
          </w:p>
        </w:tc>
        <w:tc>
          <w:tcPr>
            <w:tcW w:w="5529" w:type="dxa"/>
            <w:vAlign w:val="center"/>
          </w:tcPr>
          <w:p>
            <w:pPr>
              <w:spacing w:line="276"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04"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126"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实木桌凳</w:t>
            </w:r>
          </w:p>
        </w:tc>
        <w:tc>
          <w:tcPr>
            <w:tcW w:w="5529" w:type="dxa"/>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★款式：中式古典</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材质：实木</w:t>
            </w:r>
          </w:p>
          <w:p>
            <w:pPr>
              <w:spacing w:line="360" w:lineRule="exact"/>
              <w:rPr>
                <w:rFonts w:ascii="微软雅黑" w:hAnsi="微软雅黑" w:eastAsia="微软雅黑" w:cs="微软雅黑"/>
                <w:sz w:val="18"/>
                <w:szCs w:val="18"/>
              </w:rPr>
            </w:pPr>
            <w:r>
              <w:rPr>
                <w:rFonts w:hint="eastAsia" w:ascii="微软雅黑" w:hAnsi="微软雅黑" w:eastAsia="微软雅黑" w:cs="微软雅黑"/>
                <w:sz w:val="18"/>
                <w:szCs w:val="18"/>
              </w:rPr>
              <w:t>桌子尺寸：≥长</w:t>
            </w:r>
            <w:r>
              <w:rPr>
                <w:rFonts w:ascii="微软雅黑" w:hAnsi="微软雅黑" w:eastAsia="微软雅黑" w:cs="微软雅黑"/>
                <w:sz w:val="18"/>
                <w:szCs w:val="18"/>
              </w:rPr>
              <w:t>1490</w:t>
            </w:r>
            <w:r>
              <w:rPr>
                <w:rFonts w:hint="eastAsia" w:ascii="微软雅黑" w:hAnsi="微软雅黑" w:eastAsia="微软雅黑" w:cs="微软雅黑"/>
                <w:sz w:val="18"/>
                <w:szCs w:val="18"/>
              </w:rPr>
              <w:t>mm*宽</w:t>
            </w:r>
            <w:r>
              <w:rPr>
                <w:rFonts w:ascii="微软雅黑" w:hAnsi="微软雅黑" w:eastAsia="微软雅黑" w:cs="微软雅黑"/>
                <w:sz w:val="18"/>
                <w:szCs w:val="18"/>
              </w:rPr>
              <w:t>490</w:t>
            </w:r>
            <w:r>
              <w:rPr>
                <w:rFonts w:hint="eastAsia" w:ascii="微软雅黑" w:hAnsi="微软雅黑" w:eastAsia="微软雅黑" w:cs="微软雅黑"/>
                <w:sz w:val="18"/>
                <w:szCs w:val="18"/>
              </w:rPr>
              <w:t>mm*高7</w:t>
            </w:r>
            <w:r>
              <w:rPr>
                <w:rFonts w:ascii="微软雅黑" w:hAnsi="微软雅黑" w:eastAsia="微软雅黑" w:cs="微软雅黑"/>
                <w:sz w:val="18"/>
                <w:szCs w:val="18"/>
              </w:rPr>
              <w:t>1</w:t>
            </w:r>
            <w:r>
              <w:rPr>
                <w:rFonts w:hint="eastAsia" w:ascii="微软雅黑" w:hAnsi="微软雅黑" w:eastAsia="微软雅黑" w:cs="微软雅黑"/>
                <w:sz w:val="18"/>
                <w:szCs w:val="18"/>
              </w:rPr>
              <w:t>0mm</w:t>
            </w:r>
          </w:p>
          <w:p>
            <w:pPr>
              <w:spacing w:line="360" w:lineRule="exact"/>
              <w:rPr>
                <w:rFonts w:ascii="微软雅黑" w:hAnsi="微软雅黑" w:eastAsia="微软雅黑" w:cs="微软雅黑"/>
                <w:sz w:val="18"/>
                <w:szCs w:val="18"/>
              </w:rPr>
            </w:pPr>
            <w:r>
              <w:rPr>
                <w:rFonts w:hint="eastAsia" w:ascii="微软雅黑" w:hAnsi="微软雅黑" w:eastAsia="微软雅黑" w:cs="微软雅黑"/>
                <w:sz w:val="18"/>
                <w:szCs w:val="18"/>
              </w:rPr>
              <w:t>凳子尺寸：≥长</w:t>
            </w:r>
            <w:r>
              <w:rPr>
                <w:rFonts w:ascii="微软雅黑" w:hAnsi="微软雅黑" w:eastAsia="微软雅黑" w:cs="微软雅黑"/>
                <w:sz w:val="18"/>
                <w:szCs w:val="18"/>
              </w:rPr>
              <w:t>545</w:t>
            </w:r>
            <w:r>
              <w:rPr>
                <w:rFonts w:hint="eastAsia" w:ascii="微软雅黑" w:hAnsi="微软雅黑" w:eastAsia="微软雅黑" w:cs="微软雅黑"/>
                <w:sz w:val="18"/>
                <w:szCs w:val="18"/>
              </w:rPr>
              <w:t>mm*宽29</w:t>
            </w:r>
            <w:r>
              <w:rPr>
                <w:rFonts w:ascii="微软雅黑" w:hAnsi="微软雅黑" w:eastAsia="微软雅黑" w:cs="微软雅黑"/>
                <w:sz w:val="18"/>
                <w:szCs w:val="18"/>
              </w:rPr>
              <w:t>0</w:t>
            </w:r>
            <w:r>
              <w:rPr>
                <w:rFonts w:hint="eastAsia" w:ascii="微软雅黑" w:hAnsi="微软雅黑" w:eastAsia="微软雅黑" w:cs="微软雅黑"/>
                <w:sz w:val="18"/>
                <w:szCs w:val="18"/>
              </w:rPr>
              <w:t>mm*高</w:t>
            </w:r>
            <w:r>
              <w:rPr>
                <w:rFonts w:ascii="微软雅黑" w:hAnsi="微软雅黑" w:eastAsia="微软雅黑" w:cs="微软雅黑"/>
                <w:sz w:val="18"/>
                <w:szCs w:val="18"/>
              </w:rPr>
              <w:t>415</w:t>
            </w:r>
            <w:r>
              <w:rPr>
                <w:rFonts w:hint="eastAsia" w:ascii="微软雅黑" w:hAnsi="微软雅黑" w:eastAsia="微软雅黑" w:cs="微软雅黑"/>
                <w:sz w:val="18"/>
                <w:szCs w:val="18"/>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04"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126"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智能交互硬件</w:t>
            </w:r>
          </w:p>
        </w:tc>
        <w:tc>
          <w:tcPr>
            <w:tcW w:w="5529" w:type="dxa"/>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★屏幕规格：≥43.8寸条形屏</w:t>
            </w:r>
          </w:p>
          <w:p>
            <w:pPr>
              <w:spacing w:line="360" w:lineRule="exact"/>
              <w:jc w:val="left"/>
              <w:rPr>
                <w:rFonts w:ascii="微软雅黑" w:hAnsi="微软雅黑" w:eastAsia="微软雅黑" w:cs="微软雅黑"/>
                <w:color w:val="auto"/>
                <w:sz w:val="18"/>
                <w:szCs w:val="18"/>
              </w:rPr>
            </w:pPr>
            <w:r>
              <w:rPr>
                <w:rFonts w:hint="eastAsia" w:ascii="微软雅黑" w:hAnsi="微软雅黑" w:eastAsia="微软雅黑" w:cs="微软雅黑"/>
                <w:sz w:val="18"/>
                <w:szCs w:val="18"/>
              </w:rPr>
              <w:t>液晶屏</w:t>
            </w:r>
            <w:r>
              <w:rPr>
                <w:rFonts w:hint="eastAsia" w:ascii="微软雅黑" w:hAnsi="微软雅黑" w:eastAsia="微软雅黑" w:cs="微软雅黑"/>
                <w:color w:val="auto"/>
                <w:sz w:val="18"/>
                <w:szCs w:val="18"/>
              </w:rPr>
              <w:t>：</w:t>
            </w:r>
            <w:r>
              <w:rPr>
                <w:rFonts w:hint="eastAsia" w:ascii="微软雅黑" w:hAnsi="微软雅黑" w:eastAsia="微软雅黑" w:cs="微软雅黑"/>
                <w:sz w:val="18"/>
                <w:szCs w:val="18"/>
              </w:rPr>
              <w:t>A规液晶屏</w:t>
            </w:r>
            <w:r>
              <w:rPr>
                <w:rFonts w:hint="eastAsia" w:ascii="微软雅黑" w:hAnsi="微软雅黑" w:eastAsia="微软雅黑" w:cs="微软雅黑"/>
                <w:color w:val="auto"/>
                <w:sz w:val="18"/>
                <w:szCs w:val="18"/>
              </w:rPr>
              <w:t>  </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显示比例：32：9</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屏幕分辨率：3840*1080</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解析度：1080P</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可视角度：全视角</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亮度：≥300cd/m²</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★类型：电容触摸</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触摸介质：手指、触摸笔等</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机壳：表面钢化玻璃、金属烤漆外壳</w:t>
            </w:r>
          </w:p>
          <w:p>
            <w:pPr>
              <w:spacing w:line="36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主板：</w:t>
            </w:r>
            <w:r>
              <w:rPr>
                <w:rFonts w:hint="eastAsia" w:ascii="微软雅黑" w:hAnsi="微软雅黑" w:eastAsia="微软雅黑" w:cs="微软雅黑"/>
                <w:sz w:val="18"/>
                <w:szCs w:val="18"/>
                <w:lang w:val="en-US" w:eastAsia="zh-CN"/>
              </w:rPr>
              <w:t>ZC-972/CS8386S3</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内存：≥2G</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存储:</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≥8G</w:t>
            </w:r>
          </w:p>
          <w:p>
            <w:pPr>
              <w:spacing w:line="360" w:lineRule="exact"/>
              <w:jc w:val="left"/>
              <w:rPr>
                <w:rFonts w:ascii="微软雅黑" w:hAnsi="微软雅黑" w:eastAsia="微软雅黑" w:cs="微软雅黑"/>
                <w:sz w:val="18"/>
                <w:szCs w:val="18"/>
              </w:rPr>
            </w:pPr>
            <w:r>
              <w:rPr>
                <w:rFonts w:ascii="微软雅黑" w:hAnsi="微软雅黑" w:eastAsia="微软雅黑" w:cs="微软雅黑"/>
                <w:sz w:val="18"/>
                <w:szCs w:val="18"/>
              </w:rPr>
              <w:t>网络</w:t>
            </w:r>
            <w:r>
              <w:rPr>
                <w:rFonts w:hint="eastAsia" w:ascii="微软雅黑" w:hAnsi="微软雅黑" w:eastAsia="微软雅黑" w:cs="微软雅黑"/>
                <w:sz w:val="18"/>
                <w:szCs w:val="18"/>
              </w:rPr>
              <w:t>：W</w:t>
            </w:r>
            <w:r>
              <w:rPr>
                <w:rFonts w:ascii="微软雅黑" w:hAnsi="微软雅黑" w:eastAsia="微软雅黑" w:cs="微软雅黑"/>
                <w:sz w:val="18"/>
                <w:szCs w:val="18"/>
              </w:rPr>
              <w:t>IFI</w:t>
            </w:r>
            <w:r>
              <w:rPr>
                <w:rFonts w:hint="eastAsia" w:ascii="微软雅黑" w:hAnsi="微软雅黑" w:eastAsia="微软雅黑" w:cs="微软雅黑"/>
                <w:sz w:val="18"/>
                <w:szCs w:val="18"/>
              </w:rPr>
              <w:t>和</w:t>
            </w:r>
            <w:r>
              <w:rPr>
                <w:rFonts w:ascii="微软雅黑" w:hAnsi="微软雅黑" w:eastAsia="微软雅黑" w:cs="微软雅黑"/>
                <w:sz w:val="18"/>
                <w:szCs w:val="18"/>
              </w:rPr>
              <w:t>4G</w:t>
            </w:r>
            <w:r>
              <w:rPr>
                <w:rFonts w:hint="eastAsia" w:ascii="微软雅黑" w:hAnsi="微软雅黑" w:eastAsia="微软雅黑" w:cs="微软雅黑"/>
                <w:sz w:val="18"/>
                <w:szCs w:val="18"/>
              </w:rPr>
              <w:t>通信</w:t>
            </w:r>
            <w:r>
              <w:rPr>
                <w:rFonts w:ascii="微软雅黑" w:hAnsi="微软雅黑" w:eastAsia="微软雅黑" w:cs="微软雅黑"/>
                <w:sz w:val="18"/>
                <w:szCs w:val="18"/>
              </w:rPr>
              <w:t>模块</w:t>
            </w:r>
            <w:r>
              <w:rPr>
                <w:rFonts w:hint="eastAsia" w:ascii="微软雅黑" w:hAnsi="微软雅黑" w:eastAsia="微软雅黑" w:cs="微软雅黑"/>
                <w:sz w:val="18"/>
                <w:szCs w:val="18"/>
              </w:rPr>
              <w:t>（</w:t>
            </w:r>
            <w:r>
              <w:rPr>
                <w:rFonts w:ascii="微软雅黑" w:hAnsi="微软雅黑" w:eastAsia="微软雅黑" w:cs="微软雅黑"/>
                <w:sz w:val="18"/>
                <w:szCs w:val="18"/>
              </w:rPr>
              <w:t>采用 LTE 3GPP Rel.11 技术，支持最大下行速率 150Mbps 和最大上行速率 50Mbps</w:t>
            </w:r>
            <w:r>
              <w:rPr>
                <w:rFonts w:hint="eastAsia" w:ascii="微软雅黑" w:hAnsi="微软雅黑" w:eastAsia="微软雅黑" w:cs="微软雅黑"/>
                <w:sz w:val="18"/>
                <w:szCs w:val="18"/>
              </w:rPr>
              <w:t>)</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★操作系统：Android</w:t>
            </w:r>
            <w:r>
              <w:rPr>
                <w:rFonts w:ascii="微软雅黑" w:hAnsi="微软雅黑" w:eastAsia="微软雅黑" w:cs="微软雅黑"/>
                <w:sz w:val="18"/>
                <w:szCs w:val="18"/>
              </w:rPr>
              <w:t>5.0</w:t>
            </w:r>
            <w:r>
              <w:rPr>
                <w:rFonts w:hint="eastAsia" w:ascii="微软雅黑" w:hAnsi="微软雅黑" w:eastAsia="微软雅黑" w:cs="微软雅黑"/>
                <w:sz w:val="18"/>
                <w:szCs w:val="18"/>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8359" w:type="dxa"/>
            <w:gridSpan w:val="3"/>
            <w:vAlign w:val="center"/>
          </w:tcPr>
          <w:p>
            <w:pPr>
              <w:spacing w:line="360" w:lineRule="exact"/>
              <w:jc w:val="left"/>
              <w:rPr>
                <w:rFonts w:ascii="微软雅黑" w:hAnsi="微软雅黑" w:eastAsia="微软雅黑" w:cs="微软雅黑"/>
                <w:b/>
                <w:color w:val="000000"/>
                <w:sz w:val="18"/>
                <w:szCs w:val="18"/>
              </w:rPr>
            </w:pPr>
            <w:r>
              <w:rPr>
                <w:rFonts w:hint="eastAsia" w:ascii="微软雅黑" w:hAnsi="微软雅黑" w:eastAsia="微软雅黑" w:cs="微软雅黑"/>
                <w:b/>
                <w:sz w:val="18"/>
                <w:szCs w:val="18"/>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04"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★功能模块：1</w:t>
            </w:r>
            <w:r>
              <w:rPr>
                <w:rFonts w:ascii="微软雅黑" w:hAnsi="微软雅黑" w:eastAsia="微软雅黑" w:cs="微软雅黑"/>
                <w:sz w:val="18"/>
                <w:szCs w:val="18"/>
              </w:rPr>
              <w:t>.</w:t>
            </w:r>
            <w:r>
              <w:rPr>
                <w:rFonts w:hint="eastAsia" w:ascii="微软雅黑" w:hAnsi="微软雅黑" w:eastAsia="微软雅黑" w:cs="微软雅黑"/>
                <w:sz w:val="18"/>
                <w:szCs w:val="18"/>
              </w:rPr>
              <w:t>数字弹奏（古琴弹奏、古筝弹奏、钢琴弹奏），2</w:t>
            </w:r>
            <w:r>
              <w:rPr>
                <w:rFonts w:ascii="微软雅黑" w:hAnsi="微软雅黑" w:eastAsia="微软雅黑" w:cs="微软雅黑"/>
                <w:sz w:val="18"/>
                <w:szCs w:val="18"/>
              </w:rPr>
              <w:t>.</w:t>
            </w:r>
            <w:r>
              <w:rPr>
                <w:rFonts w:hint="eastAsia" w:ascii="微软雅黑" w:hAnsi="微软雅黑" w:eastAsia="微软雅黑" w:cs="微软雅黑"/>
                <w:sz w:val="18"/>
                <w:szCs w:val="18"/>
              </w:rPr>
              <w:t>古琴文化，3</w:t>
            </w:r>
            <w:r>
              <w:rPr>
                <w:rFonts w:ascii="微软雅黑" w:hAnsi="微软雅黑" w:eastAsia="微软雅黑" w:cs="微软雅黑"/>
                <w:sz w:val="18"/>
                <w:szCs w:val="18"/>
              </w:rPr>
              <w:t>.</w:t>
            </w:r>
            <w:r>
              <w:rPr>
                <w:rFonts w:hint="eastAsia" w:ascii="微软雅黑" w:hAnsi="微软雅黑" w:eastAsia="微软雅黑" w:cs="微软雅黑"/>
                <w:sz w:val="18"/>
                <w:szCs w:val="18"/>
              </w:rPr>
              <w:t>古琴技法，4</w:t>
            </w:r>
            <w:r>
              <w:rPr>
                <w:rFonts w:ascii="微软雅黑" w:hAnsi="微软雅黑" w:eastAsia="微软雅黑" w:cs="微软雅黑"/>
                <w:sz w:val="18"/>
                <w:szCs w:val="18"/>
              </w:rPr>
              <w:t>.</w:t>
            </w:r>
            <w:r>
              <w:rPr>
                <w:rFonts w:hint="eastAsia" w:ascii="微软雅黑" w:hAnsi="微软雅黑" w:eastAsia="微软雅黑" w:cs="微软雅黑"/>
                <w:sz w:val="18"/>
                <w:szCs w:val="18"/>
              </w:rPr>
              <w:t>名曲欣赏，5</w:t>
            </w:r>
            <w:r>
              <w:rPr>
                <w:rFonts w:ascii="微软雅黑" w:hAnsi="微软雅黑" w:eastAsia="微软雅黑" w:cs="微软雅黑"/>
                <w:sz w:val="18"/>
                <w:szCs w:val="18"/>
              </w:rPr>
              <w:t>.</w:t>
            </w:r>
            <w:r>
              <w:rPr>
                <w:rFonts w:hint="eastAsia" w:ascii="微软雅黑" w:hAnsi="微软雅黑" w:eastAsia="微软雅黑" w:cs="微软雅黑"/>
                <w:sz w:val="18"/>
                <w:szCs w:val="18"/>
              </w:rPr>
              <w:t>名人名家。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704"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数字弹奏包含：</w:t>
            </w:r>
            <w:r>
              <w:rPr>
                <w:rFonts w:hint="eastAsia" w:ascii="微软雅黑" w:hAnsi="微软雅黑" w:eastAsia="微软雅黑" w:cs="微软雅黑"/>
                <w:color w:val="000000" w:themeColor="text1"/>
                <w:sz w:val="18"/>
                <w:szCs w:val="18"/>
                <w14:textFill>
                  <w14:solidFill>
                    <w14:schemeClr w14:val="tx1"/>
                  </w14:solidFill>
                </w14:textFill>
              </w:rPr>
              <w:t>自由弹奏、引导练习、自动弹奏。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jc w:val="center"/>
        </w:trPr>
        <w:tc>
          <w:tcPr>
            <w:tcW w:w="704" w:type="dxa"/>
            <w:vAlign w:val="center"/>
          </w:tcPr>
          <w:p>
            <w:pPr>
              <w:spacing w:line="276" w:lineRule="auto"/>
              <w:jc w:val="center"/>
              <w:rPr>
                <w:rFonts w:ascii="微软雅黑" w:hAnsi="微软雅黑" w:eastAsia="微软雅黑" w:cs="微软雅黑"/>
                <w:sz w:val="18"/>
                <w:szCs w:val="18"/>
              </w:rPr>
            </w:pPr>
            <w:r>
              <w:rPr>
                <w:rFonts w:ascii="微软雅黑" w:hAnsi="微软雅黑" w:eastAsia="微软雅黑" w:cs="微软雅黑"/>
                <w:sz w:val="18"/>
                <w:szCs w:val="18"/>
              </w:rPr>
              <w:t>3</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★体验方式：</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古琴：模拟古琴发音，右手拨弦（由一弦至七弦）分别是徵、羽、宫、商、角、徵、羽，左手对应从岳山到龙龈（从琴首到琴尾）的十三徽位；可以模拟古琴的散音，按音，滑音，自由发挥创作乐曲。</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古筝：</w:t>
            </w:r>
            <w:r>
              <w:rPr>
                <w:rFonts w:ascii="微软雅黑" w:hAnsi="微软雅黑" w:eastAsia="微软雅黑" w:cs="微软雅黑"/>
                <w:sz w:val="18"/>
                <w:szCs w:val="18"/>
              </w:rPr>
              <w:t>通过在电子屏幕上弹拨琴弦，实现古筝21根弦的不同发音，</w:t>
            </w:r>
            <w:r>
              <w:rPr>
                <w:rFonts w:hint="eastAsia" w:ascii="微软雅黑" w:hAnsi="微软雅黑" w:eastAsia="微软雅黑" w:cs="微软雅黑"/>
                <w:sz w:val="18"/>
                <w:szCs w:val="18"/>
              </w:rPr>
              <w:t>可以模拟古筝的</w:t>
            </w:r>
            <w:r>
              <w:rPr>
                <w:rFonts w:ascii="微软雅黑" w:hAnsi="微软雅黑" w:eastAsia="微软雅黑" w:cs="微软雅黑"/>
                <w:sz w:val="18"/>
                <w:szCs w:val="18"/>
              </w:rPr>
              <w:t>按音</w:t>
            </w:r>
            <w:r>
              <w:rPr>
                <w:rFonts w:hint="eastAsia" w:ascii="微软雅黑" w:hAnsi="微软雅黑" w:eastAsia="微软雅黑" w:cs="微软雅黑"/>
                <w:sz w:val="18"/>
                <w:szCs w:val="18"/>
              </w:rPr>
              <w:t>、滑音、颤音，</w:t>
            </w:r>
            <w:r>
              <w:rPr>
                <w:rFonts w:ascii="微软雅黑" w:hAnsi="微软雅黑" w:eastAsia="微软雅黑" w:cs="微软雅黑"/>
                <w:sz w:val="18"/>
                <w:szCs w:val="18"/>
              </w:rPr>
              <w:t>弹奏出完整的乐曲。</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钢琴：</w:t>
            </w:r>
            <w:r>
              <w:rPr>
                <w:rFonts w:ascii="微软雅黑" w:hAnsi="微软雅黑" w:eastAsia="微软雅黑" w:cs="微软雅黑"/>
                <w:sz w:val="18"/>
                <w:szCs w:val="18"/>
              </w:rPr>
              <w:t>完整的模拟88个琴</w:t>
            </w:r>
            <w:r>
              <w:rPr>
                <w:rFonts w:ascii="微软雅黑" w:hAnsi="微软雅黑" w:eastAsia="微软雅黑" w:cs="微软雅黑"/>
                <w:color w:val="auto"/>
                <w:sz w:val="18"/>
                <w:szCs w:val="18"/>
              </w:rPr>
              <w:t>键</w:t>
            </w:r>
            <w:r>
              <w:rPr>
                <w:rFonts w:hint="eastAsia" w:ascii="微软雅黑" w:hAnsi="微软雅黑" w:eastAsia="微软雅黑" w:cs="微软雅黑"/>
                <w:color w:val="auto"/>
                <w:sz w:val="18"/>
                <w:szCs w:val="18"/>
              </w:rPr>
              <w:t>和61个琴键</w:t>
            </w:r>
            <w:r>
              <w:rPr>
                <w:rFonts w:ascii="微软雅黑" w:hAnsi="微软雅黑" w:eastAsia="微软雅黑" w:cs="微软雅黑"/>
                <w:color w:val="auto"/>
                <w:sz w:val="18"/>
                <w:szCs w:val="18"/>
              </w:rPr>
              <w:t>，</w:t>
            </w:r>
            <w:r>
              <w:rPr>
                <w:rFonts w:hint="eastAsia" w:ascii="微软雅黑" w:hAnsi="微软雅黑" w:eastAsia="微软雅黑" w:cs="微软雅黑"/>
                <w:sz w:val="18"/>
                <w:szCs w:val="18"/>
              </w:rPr>
              <w:t>分为低音区、中音区、高音区</w:t>
            </w:r>
            <w:r>
              <w:rPr>
                <w:rFonts w:ascii="微软雅黑" w:hAnsi="微软雅黑" w:eastAsia="微软雅黑" w:cs="微软雅黑"/>
                <w:sz w:val="18"/>
                <w:szCs w:val="18"/>
              </w:rPr>
              <w:t>，在电子屏幕上轻松弹奏各类钢琴曲子。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04"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古琴文化：介绍了中国古代音乐，古琴文化对中国音乐教育及其思想的影响，不少于10</w:t>
            </w:r>
            <w:r>
              <w:rPr>
                <w:rFonts w:ascii="微软雅黑" w:hAnsi="微软雅黑" w:eastAsia="微软雅黑" w:cs="微软雅黑"/>
                <w:sz w:val="18"/>
                <w:szCs w:val="18"/>
              </w:rPr>
              <w:t>0</w:t>
            </w:r>
            <w:r>
              <w:rPr>
                <w:rFonts w:hint="eastAsia" w:ascii="微软雅黑" w:hAnsi="微软雅黑" w:eastAsia="微软雅黑" w:cs="微软雅黑"/>
                <w:sz w:val="18"/>
                <w:szCs w:val="18"/>
              </w:rPr>
              <w:t>篇古琴历史文化知识。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704" w:type="dxa"/>
            <w:vAlign w:val="center"/>
          </w:tcPr>
          <w:p>
            <w:pPr>
              <w:spacing w:line="276" w:lineRule="auto"/>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5</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古琴技法：系统介绍古琴的技法和相关知识。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04" w:type="dxa"/>
            <w:vAlign w:val="center"/>
          </w:tcPr>
          <w:p>
            <w:pPr>
              <w:spacing w:line="276"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★名曲欣赏：不少于5</w:t>
            </w:r>
            <w:r>
              <w:rPr>
                <w:rFonts w:ascii="微软雅黑" w:hAnsi="微软雅黑" w:eastAsia="微软雅黑" w:cs="微软雅黑"/>
                <w:sz w:val="18"/>
                <w:szCs w:val="18"/>
              </w:rPr>
              <w:t>0首</w:t>
            </w:r>
            <w:r>
              <w:rPr>
                <w:rFonts w:hint="eastAsia" w:ascii="微软雅黑" w:hAnsi="微软雅黑" w:eastAsia="微软雅黑" w:cs="微软雅黑"/>
                <w:sz w:val="18"/>
                <w:szCs w:val="18"/>
              </w:rPr>
              <w:t>名曲赏析；可以设置单曲循环，顺序播放，调节音量等功能。</w:t>
            </w:r>
            <w:r>
              <w:rPr>
                <w:rFonts w:ascii="微软雅黑" w:hAnsi="微软雅黑" w:eastAsia="微软雅黑" w:cs="微软雅黑"/>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704" w:type="dxa"/>
            <w:vAlign w:val="center"/>
          </w:tcPr>
          <w:p>
            <w:pPr>
              <w:spacing w:line="276"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名人名家：对古今名人名家的成就的介绍。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04"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数据统计：应用物联网技术进行数据采集，基于Apache Spark框架，利用图表把每日，每周，每月的用户体验数据通过处理分析实现数据直观展示，数据存储于本地和云数据库</w:t>
            </w:r>
            <w:bookmarkStart w:id="1" w:name="_GoBack"/>
            <w:bookmarkEnd w:id="1"/>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04"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7655"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远程自动升级：应用物联网技术，软件使用</w:t>
            </w:r>
            <w:r>
              <w:rPr>
                <w:rFonts w:ascii="微软雅黑" w:hAnsi="微软雅黑" w:eastAsia="微软雅黑" w:cs="微软雅黑"/>
                <w:sz w:val="18"/>
                <w:szCs w:val="18"/>
              </w:rPr>
              <w:t>lua</w:t>
            </w:r>
            <w:r>
              <w:rPr>
                <w:rFonts w:hint="eastAsia" w:ascii="微软雅黑" w:hAnsi="微软雅黑" w:eastAsia="微软雅黑" w:cs="微软雅黑"/>
                <w:sz w:val="18"/>
                <w:szCs w:val="18"/>
              </w:rPr>
              <w:t>架构，通过tc</w:t>
            </w:r>
            <w:r>
              <w:rPr>
                <w:rFonts w:ascii="微软雅黑" w:hAnsi="微软雅黑" w:eastAsia="微软雅黑" w:cs="微软雅黑"/>
                <w:sz w:val="18"/>
                <w:szCs w:val="18"/>
              </w:rPr>
              <w:t>p/ip ,</w:t>
            </w:r>
            <w:r>
              <w:rPr>
                <w:rFonts w:hint="eastAsia" w:ascii="微软雅黑" w:hAnsi="微软雅黑" w:eastAsia="微软雅黑" w:cs="微软雅黑"/>
                <w:sz w:val="18"/>
                <w:szCs w:val="18"/>
              </w:rPr>
              <w:t>http协议通信，支持云端对应用软件（SOTA）进行远程自动升级。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WE0MDdjNzBhZmMwZjA4Y2ExYjk2NTljYTI4MzEifQ=="/>
  </w:docVars>
  <w:rsids>
    <w:rsidRoot w:val="00AD517D"/>
    <w:rsid w:val="001B55FB"/>
    <w:rsid w:val="00AD517D"/>
    <w:rsid w:val="00DE3805"/>
    <w:rsid w:val="00E34E22"/>
    <w:rsid w:val="00ED0CE6"/>
    <w:rsid w:val="0305522D"/>
    <w:rsid w:val="03CC7CE2"/>
    <w:rsid w:val="06F338FF"/>
    <w:rsid w:val="0A325C8E"/>
    <w:rsid w:val="348212FB"/>
    <w:rsid w:val="34AB13ED"/>
    <w:rsid w:val="3A6B7B13"/>
    <w:rsid w:val="403623E8"/>
    <w:rsid w:val="4405257F"/>
    <w:rsid w:val="69BA27BA"/>
    <w:rsid w:val="7605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Calibri" w:hAnsi="Calibri" w:eastAsia="宋体" w:cs="Times New Roman"/>
      <w:b/>
      <w:kern w:val="44"/>
      <w:sz w:val="44"/>
    </w:rPr>
  </w:style>
  <w:style w:type="paragraph" w:customStyle="1" w:styleId="10">
    <w:name w:val="缩进"/>
    <w:basedOn w:val="1"/>
    <w:qFormat/>
    <w:uiPriority w:val="0"/>
    <w:pPr>
      <w:widowControl/>
      <w:ind w:firstLine="200"/>
    </w:pPr>
    <w:rPr>
      <w:rFonts w:ascii="Times New Roman" w:hAnsi="Times New Roman" w:eastAsia="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2</Pages>
  <Words>1033</Words>
  <Characters>1166</Characters>
  <Lines>8</Lines>
  <Paragraphs>2</Paragraphs>
  <TotalTime>0</TotalTime>
  <ScaleCrop>false</ScaleCrop>
  <LinksUpToDate>false</LinksUpToDate>
  <CharactersWithSpaces>1179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2021-03-01T03:35:00Z</dcterms:created>
  <dc:creator>Admin</dc:creator>
  <cp:lastModifiedBy>苏州探寻文化</cp:lastModifiedBy>
  <dcterms:modified xsi:type="dcterms:W3CDTF">2024-01-05T06:59:15Z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51364BFF960C4A2DBE75D2B3D7253852</vt:lpwstr>
  </property>
</Properties>
</file>