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rPr>
          <w:rFonts w:ascii="微软雅黑" w:hAnsi="微软雅黑" w:eastAsia="微软雅黑"/>
          <w:sz w:val="24"/>
        </w:rPr>
      </w:pPr>
      <w:bookmarkStart w:id="0" w:name="_Toc63602718"/>
      <w:bookmarkStart w:id="1" w:name="_Toc63601180"/>
      <w:bookmarkStart w:id="2" w:name="_Toc65091230"/>
      <w:r>
        <w:rPr>
          <w:rFonts w:hint="eastAsia" w:ascii="微软雅黑" w:hAnsi="微软雅黑" w:eastAsia="微软雅黑"/>
          <w:sz w:val="24"/>
        </w:rPr>
        <w:t>6、互动涂鸦</w:t>
      </w:r>
      <w:bookmarkEnd w:id="0"/>
      <w:bookmarkEnd w:id="1"/>
      <w:bookmarkEnd w:id="2"/>
      <w:bookmarkStart w:id="3" w:name="_GoBack"/>
      <w:bookmarkEnd w:id="3"/>
    </w:p>
    <w:p>
      <w:pPr>
        <w:spacing w:line="360" w:lineRule="exact"/>
        <w:ind w:firstLine="420" w:firstLineChars="200"/>
        <w:rPr>
          <w:rFonts w:ascii="微软雅黑" w:hAnsi="微软雅黑" w:eastAsia="微软雅黑" w:cs="微软雅黑"/>
          <w:kern w:val="0"/>
          <w:szCs w:val="21"/>
        </w:rPr>
      </w:pPr>
      <w:r>
        <w:rPr>
          <w:rFonts w:ascii="微软雅黑" w:hAnsi="微软雅黑" w:eastAsia="微软雅黑" w:cs="微软雅黑"/>
          <w:kern w:val="0"/>
          <w:szCs w:val="21"/>
        </w:rPr>
        <w:t>小朋友在纸上创作自己喜欢的小动物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ascii="微软雅黑" w:hAnsi="微软雅黑" w:eastAsia="微软雅黑" w:cs="微软雅黑"/>
          <w:kern w:val="0"/>
          <w:szCs w:val="21"/>
        </w:rPr>
        <w:t>扫描进入美丽的场景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ascii="微软雅黑" w:hAnsi="微软雅黑" w:eastAsia="微软雅黑" w:cs="微软雅黑"/>
          <w:kern w:val="0"/>
          <w:szCs w:val="21"/>
        </w:rPr>
        <w:t>小动物瞬间活蹦乱跳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ascii="微软雅黑" w:hAnsi="微软雅黑" w:eastAsia="微软雅黑" w:cs="微软雅黑"/>
          <w:kern w:val="0"/>
          <w:szCs w:val="21"/>
        </w:rPr>
        <w:t>去触碰它进行互动玩耍</w:t>
      </w:r>
      <w:r>
        <w:rPr>
          <w:rFonts w:hint="eastAsia" w:ascii="微软雅黑" w:hAnsi="微软雅黑" w:eastAsia="微软雅黑" w:cs="微软雅黑"/>
          <w:kern w:val="0"/>
          <w:szCs w:val="21"/>
        </w:rPr>
        <w:t>。</w:t>
      </w:r>
      <w:r>
        <w:rPr>
          <w:rFonts w:ascii="微软雅黑" w:hAnsi="微软雅黑" w:eastAsia="微软雅黑" w:cs="微软雅黑"/>
          <w:kern w:val="0"/>
          <w:szCs w:val="21"/>
        </w:rPr>
        <w:t>小动物还会穿上衣服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ascii="微软雅黑" w:hAnsi="微软雅黑" w:eastAsia="微软雅黑" w:cs="微软雅黑"/>
          <w:kern w:val="0"/>
          <w:szCs w:val="21"/>
        </w:rPr>
        <w:t>发出甜美的声音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ascii="微软雅黑" w:hAnsi="微软雅黑" w:eastAsia="微软雅黑" w:cs="微软雅黑"/>
          <w:kern w:val="0"/>
          <w:szCs w:val="21"/>
        </w:rPr>
        <w:t>与小朋友愉快的交谈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ascii="微软雅黑" w:hAnsi="微软雅黑" w:eastAsia="微软雅黑" w:cs="微软雅黑"/>
          <w:kern w:val="0"/>
          <w:szCs w:val="21"/>
        </w:rPr>
        <w:t>让每个小朋友都可以成为</w:t>
      </w:r>
      <w:r>
        <w:rPr>
          <w:rFonts w:hint="eastAsia" w:ascii="微软雅黑" w:hAnsi="微软雅黑" w:eastAsia="微软雅黑" w:cs="微软雅黑"/>
          <w:kern w:val="0"/>
          <w:szCs w:val="21"/>
        </w:rPr>
        <w:t>“</w:t>
      </w:r>
      <w:r>
        <w:rPr>
          <w:rFonts w:ascii="微软雅黑" w:hAnsi="微软雅黑" w:eastAsia="微软雅黑" w:cs="微软雅黑"/>
          <w:kern w:val="0"/>
          <w:szCs w:val="21"/>
        </w:rPr>
        <w:t>神笔马良</w:t>
      </w:r>
      <w:r>
        <w:rPr>
          <w:rFonts w:hint="eastAsia" w:ascii="微软雅黑" w:hAnsi="微软雅黑" w:eastAsia="微软雅黑" w:cs="微软雅黑"/>
          <w:kern w:val="0"/>
          <w:szCs w:val="21"/>
        </w:rPr>
        <w:t>”。</w:t>
      </w:r>
    </w:p>
    <w:p>
      <w:pPr>
        <w:jc w:val="center"/>
        <w:rPr>
          <w:rFonts w:ascii="微软雅黑" w:hAnsi="微软雅黑" w:eastAsia="微软雅黑"/>
          <w:sz w:val="24"/>
        </w:rPr>
      </w:pPr>
      <w:r>
        <w:rPr>
          <w:rFonts w:hint="eastAsia"/>
        </w:rPr>
        <w:drawing>
          <wp:inline distT="0" distB="0" distL="0" distR="0">
            <wp:extent cx="4102735" cy="23869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1" r="6181" b="14034"/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参数要求如下</w:t>
      </w:r>
      <w:r>
        <w:rPr>
          <w:rFonts w:hint="eastAsia" w:ascii="微软雅黑" w:hAnsi="微软雅黑" w:eastAsia="微软雅黑"/>
          <w:b/>
          <w:szCs w:val="21"/>
        </w:rPr>
        <w:t>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95"/>
        <w:gridCol w:w="1067"/>
        <w:gridCol w:w="5270"/>
        <w:gridCol w:w="570"/>
        <w:gridCol w:w="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序号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分类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项目内容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设备参数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单位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硬件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投影机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亮度：≥3000 流明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分辨率：≥1920*1080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对比度：≥10000:1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投影画面尺寸：支持16:9或16:10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最佳投放距离: 1-1.6米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互动装置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支持 360 度激光扫描雷达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支持 12 米测量半径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支持 8000 次/秒测量频率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互动装置外壳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定制保护壳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投影机吊架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材质：加厚碳素钢+冷轧板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承受重量：≥10KG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多角度调节：上下±30度 、左右±30度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支持管内走线：可穿过HDMI线、电源线等线材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控制主机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CPU：≥Intel i5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内存：≥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硬盘：≥120G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SSD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显卡：独立显卡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电源：500W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键盘+鼠标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无线键盘套装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扫描设备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彩色扫描仪；光学分辨率(dpi): ≥600*600dpi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接口类型:支持 USB2.0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扫描桌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长600mm*宽600mm*高600mm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耗材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辅料，信号线、USB延长线等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批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软件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互动涂鸦系统软件</w:t>
            </w:r>
          </w:p>
        </w:tc>
        <w:tc>
          <w:tcPr>
            <w:tcW w:w="3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功能要求：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1.拍打画面，可以精准的反应互动，爆发出绚丽的魔法特效；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2.拍打动物时，动物体型会变大变小；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3.动物穿戴上可爱的服饰；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4.动物之间也有丰富的互动；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5.动物和玩耍的小朋友可以语音互动；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6.包含两个场景主题；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hNjM1ZDVjMDdkMzdmMDIzMjg5MWNjY2RiMjJmN2IifQ=="/>
  </w:docVars>
  <w:rsids>
    <w:rsidRoot w:val="00484BED"/>
    <w:rsid w:val="002F5984"/>
    <w:rsid w:val="00484BED"/>
    <w:rsid w:val="00B54279"/>
    <w:rsid w:val="00DE3805"/>
    <w:rsid w:val="00ED0CE6"/>
    <w:rsid w:val="0D57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512</Words>
  <Characters>612</Characters>
  <Lines>5</Lines>
  <Paragraphs>1</Paragraphs>
  <TotalTime>1</TotalTime>
  <ScaleCrop>false</ScaleCrop>
  <LinksUpToDate>false</LinksUpToDate>
  <CharactersWithSpaces>630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2021-03-01T06:51:00Z</dcterms:created>
  <dc:creator>Admin</dc:creator>
  <cp:lastModifiedBy>苏州探寻文化</cp:lastModifiedBy>
  <dcterms:modified xsi:type="dcterms:W3CDTF">2022-11-17T07:02:37Z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014487B3E6E245B6A3C83F21AFF70A42</vt:lpwstr>
  </property>
</Properties>
</file>